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940"/>
        <w:gridCol w:w="2895"/>
      </w:tblGrid>
      <w:tr w:rsidR="002164B3" w:rsidTr="009C077D">
        <w:trPr>
          <w:trHeight w:val="515"/>
        </w:trPr>
        <w:tc>
          <w:tcPr>
            <w:tcW w:w="2955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B3" w:rsidRDefault="002164B3" w:rsidP="009C07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Nisan 2012 CUMARTESİ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B3" w:rsidRDefault="002164B3" w:rsidP="009C077D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Resmî Gazete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B3" w:rsidRDefault="002164B3" w:rsidP="009C077D">
            <w:pPr>
              <w:spacing w:before="240" w:after="240" w:line="261" w:lineRule="auto"/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Sayı : 28264</w:t>
            </w:r>
            <w:proofErr w:type="gramEnd"/>
          </w:p>
        </w:tc>
      </w:tr>
      <w:tr w:rsidR="002164B3" w:rsidTr="009C077D">
        <w:trPr>
          <w:trHeight w:val="680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B3" w:rsidRDefault="002164B3" w:rsidP="009C077D">
            <w:pPr>
              <w:spacing w:before="240" w:after="240" w:line="261" w:lineRule="auto"/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TEBLİĞ</w:t>
            </w:r>
          </w:p>
        </w:tc>
      </w:tr>
      <w:tr w:rsidR="002164B3" w:rsidTr="009C077D">
        <w:trPr>
          <w:trHeight w:val="1160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B3" w:rsidRDefault="002164B3" w:rsidP="009C077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Maliye Bakanlığından</w:t>
            </w:r>
            <w:r>
              <w:rPr>
                <w:b/>
                <w:sz w:val="18"/>
                <w:szCs w:val="18"/>
              </w:rPr>
              <w:t>:</w:t>
            </w:r>
          </w:p>
          <w:p w:rsidR="002164B3" w:rsidRDefault="002164B3" w:rsidP="009C07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KATMA DEĞER VERGİSİ</w:t>
            </w:r>
          </w:p>
          <w:p w:rsidR="002164B3" w:rsidRDefault="002164B3" w:rsidP="009C07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TEBLİĞİ</w:t>
            </w:r>
          </w:p>
          <w:p w:rsidR="002164B3" w:rsidRDefault="002164B3" w:rsidP="009C07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(SERİ NO: 117)</w:t>
            </w:r>
          </w:p>
        </w:tc>
      </w:tr>
    </w:tbl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 KISMİ TEVKİFAT UYGULAMASI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3.1. KISMİ TEVKİFATIN MAHİYETİ VE TEVKİFAT UYGULAYACAK ALICILAR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3.1.1. Tebliğin (3.2.) ve (3.3.) bölümleri kapsamındaki işlemlerde, işlem bedeli üzerinden hesaplanan KDV’nin tamamı değil, bu işlemler için izleyen bölümlerde belirlenen orandaki kısmı alıcılar tarafından sorumlu sıfatıyla beyan edilip ödenecek; </w:t>
      </w:r>
      <w:proofErr w:type="spellStart"/>
      <w:r>
        <w:rPr>
          <w:b/>
          <w:sz w:val="18"/>
          <w:szCs w:val="18"/>
        </w:rPr>
        <w:t>tevkifata</w:t>
      </w:r>
      <w:proofErr w:type="spellEnd"/>
      <w:r>
        <w:rPr>
          <w:b/>
          <w:sz w:val="18"/>
          <w:szCs w:val="18"/>
        </w:rPr>
        <w:t xml:space="preserve"> tabi tutulmayan kısım ise satıcılar tarafından mükellef sıfatıyla beyan edilip (beyannamede ödenmesi gereken KDV çıkması halinde) ödenecektir.</w:t>
      </w:r>
      <w:proofErr w:type="gramEnd"/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Kısmi </w:t>
      </w:r>
      <w:proofErr w:type="spellStart"/>
      <w:r>
        <w:rPr>
          <w:b/>
          <w:sz w:val="18"/>
          <w:szCs w:val="18"/>
        </w:rPr>
        <w:t>tevkifat</w:t>
      </w:r>
      <w:proofErr w:type="spellEnd"/>
      <w:r>
        <w:rPr>
          <w:b/>
          <w:sz w:val="18"/>
          <w:szCs w:val="18"/>
        </w:rPr>
        <w:t xml:space="preserve"> uygulanacak işlemler, söz konusu bölümlerde belirtilenlerle sınırlı olup, bunlar dışındaki işlemlerde işleme muhatap olanlar tarafından kısmi </w:t>
      </w:r>
      <w:proofErr w:type="spellStart"/>
      <w:r>
        <w:rPr>
          <w:b/>
          <w:sz w:val="18"/>
          <w:szCs w:val="18"/>
        </w:rPr>
        <w:t>tevkifat</w:t>
      </w:r>
      <w:proofErr w:type="spellEnd"/>
      <w:r>
        <w:rPr>
          <w:b/>
          <w:sz w:val="18"/>
          <w:szCs w:val="18"/>
        </w:rPr>
        <w:t xml:space="preserve"> yapılmayacaktır.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3.1.2. Kısmi </w:t>
      </w:r>
      <w:proofErr w:type="spellStart"/>
      <w:r>
        <w:rPr>
          <w:b/>
          <w:sz w:val="18"/>
          <w:szCs w:val="18"/>
        </w:rPr>
        <w:t>tevkifat</w:t>
      </w:r>
      <w:proofErr w:type="spellEnd"/>
      <w:r>
        <w:rPr>
          <w:b/>
          <w:sz w:val="18"/>
          <w:szCs w:val="18"/>
        </w:rPr>
        <w:t xml:space="preserve"> uygulaması kapsamında KDV </w:t>
      </w:r>
      <w:proofErr w:type="spellStart"/>
      <w:r>
        <w:rPr>
          <w:b/>
          <w:sz w:val="18"/>
          <w:szCs w:val="18"/>
        </w:rPr>
        <w:t>tevkifatı</w:t>
      </w:r>
      <w:proofErr w:type="spellEnd"/>
      <w:r>
        <w:rPr>
          <w:b/>
          <w:sz w:val="18"/>
          <w:szCs w:val="18"/>
        </w:rPr>
        <w:t xml:space="preserve"> yapmak üzere sorumlu tutulabilecekler aşağıda iki grup halinde sayılmış olup, </w:t>
      </w:r>
      <w:proofErr w:type="spellStart"/>
      <w:r>
        <w:rPr>
          <w:b/>
          <w:sz w:val="18"/>
          <w:szCs w:val="18"/>
        </w:rPr>
        <w:t>tevkifat</w:t>
      </w:r>
      <w:proofErr w:type="spellEnd"/>
      <w:r>
        <w:rPr>
          <w:b/>
          <w:sz w:val="18"/>
          <w:szCs w:val="18"/>
        </w:rPr>
        <w:t xml:space="preserve"> uygulaması kapsamındaki her bir işlem bazında </w:t>
      </w:r>
      <w:proofErr w:type="spellStart"/>
      <w:r>
        <w:rPr>
          <w:b/>
          <w:sz w:val="18"/>
          <w:szCs w:val="18"/>
        </w:rPr>
        <w:t>tevkifat</w:t>
      </w:r>
      <w:proofErr w:type="spellEnd"/>
      <w:r>
        <w:rPr>
          <w:b/>
          <w:sz w:val="18"/>
          <w:szCs w:val="18"/>
        </w:rPr>
        <w:t xml:space="preserve"> yapacaklar, söz konusu gruplardan birine veya ikisine veyahut söz konusu gruplar kapsamında olan bazı sorumlulara atıf yapılmak suretiyle Tebliğin ilgili bölümlerinde belirtilmiştir.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a) KDV mükellefleri (sadece sorumlu sıfatıyla KDV ödeyenler bu kapsama </w:t>
      </w:r>
      <w:proofErr w:type="gramStart"/>
      <w:r>
        <w:rPr>
          <w:b/>
          <w:sz w:val="18"/>
          <w:szCs w:val="18"/>
        </w:rPr>
        <w:t>dahil</w:t>
      </w:r>
      <w:proofErr w:type="gramEnd"/>
      <w:r>
        <w:rPr>
          <w:b/>
          <w:sz w:val="18"/>
          <w:szCs w:val="18"/>
        </w:rPr>
        <w:t xml:space="preserve"> değildir.)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b) Belirlenmiş alıcılar (KDV mükellefi olsun olmasın):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- 5018 sayılı Kanuna ekli cetvellerde yer alan idare, kurum ve kuruluşlar, il özel idareleri ve bunların teşkil ettikleri birlikler, belediyelerin teşkil ettikleri birlikler ile köylere hizmet götürme birlikleri,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Yukarıda sayılanlar dışındaki, kanunla kurulan kamu kurum ve kuruluşları,</w:t>
      </w:r>
    </w:p>
    <w:p w:rsidR="002164B3" w:rsidRPr="00DD7B42" w:rsidRDefault="002164B3" w:rsidP="002164B3">
      <w:pPr>
        <w:spacing w:line="261" w:lineRule="auto"/>
        <w:jc w:val="both"/>
        <w:rPr>
          <w:b/>
          <w:sz w:val="22"/>
          <w:szCs w:val="18"/>
          <w:highlight w:val="yellow"/>
          <w:u w:val="single"/>
        </w:rPr>
      </w:pPr>
      <w:r w:rsidRPr="00DD7B42">
        <w:rPr>
          <w:b/>
          <w:sz w:val="22"/>
          <w:szCs w:val="18"/>
          <w:highlight w:val="yellow"/>
          <w:u w:val="single"/>
        </w:rPr>
        <w:t>- Döner sermayeli kuruluşlar,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Kamu kurumu niteliğindeki meslek kuruluşları,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Kanunla kurulan veya tüzel kişiliği haiz emekli ve yardım sandıkları,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Bankalar,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Kamu iktisadi teşebbüsleri (Kamu İktisadi Kuruluşları, İktisadi Devlet Teşekkülleri),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Özelleştirme kapsamındaki kuruluşlar,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Organize sanayi bölgeleri ile menkul kıymetler, vadeli işlemler borsaları </w:t>
      </w:r>
      <w:proofErr w:type="gramStart"/>
      <w:r>
        <w:rPr>
          <w:b/>
          <w:sz w:val="18"/>
          <w:szCs w:val="18"/>
        </w:rPr>
        <w:t>dahil</w:t>
      </w:r>
      <w:proofErr w:type="gramEnd"/>
      <w:r>
        <w:rPr>
          <w:b/>
          <w:sz w:val="18"/>
          <w:szCs w:val="18"/>
        </w:rPr>
        <w:t xml:space="preserve"> bütün borsalar,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Yarıdan fazla hissesi doğrudan yukarıda sayılan idare, kurum ve kuruluşlara ait olan (tek başına ya da birlikte) kurum, kuruluş ve işletmeler,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3.4. KISMİ TEVKİFAT UYGULAMASIYLA İLGİLİ ORTAK HUSUSLAR</w:t>
      </w:r>
    </w:p>
    <w:p w:rsidR="002164B3" w:rsidRDefault="002164B3" w:rsidP="002164B3">
      <w:pPr>
        <w:spacing w:line="261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3.4.1.TEVKİFAT UYGULAMASINDA SINIR</w:t>
      </w:r>
    </w:p>
    <w:p w:rsidR="002164B3" w:rsidRPr="00DD7B42" w:rsidRDefault="002164B3" w:rsidP="002164B3">
      <w:pPr>
        <w:spacing w:line="261" w:lineRule="auto"/>
        <w:jc w:val="both"/>
        <w:rPr>
          <w:b/>
          <w:sz w:val="22"/>
          <w:szCs w:val="18"/>
          <w:u w:val="single"/>
        </w:rPr>
      </w:pPr>
      <w:r>
        <w:rPr>
          <w:sz w:val="18"/>
          <w:szCs w:val="18"/>
        </w:rPr>
        <w:t xml:space="preserve">3.4.1.1. Tebliğin (3.1.2./b) ayırımında sayılanların, kısmi </w:t>
      </w:r>
      <w:proofErr w:type="spellStart"/>
      <w:r>
        <w:rPr>
          <w:sz w:val="18"/>
          <w:szCs w:val="18"/>
        </w:rPr>
        <w:t>tevkifat</w:t>
      </w:r>
      <w:proofErr w:type="spellEnd"/>
      <w:r>
        <w:rPr>
          <w:sz w:val="18"/>
          <w:szCs w:val="18"/>
        </w:rPr>
        <w:t xml:space="preserve"> uygulaması kapsamındaki teslim ve hizmetlerinde hesaplanan KDV, alıcıların durumuna bakılmaksızın, </w:t>
      </w:r>
      <w:proofErr w:type="spellStart"/>
      <w:r>
        <w:rPr>
          <w:sz w:val="18"/>
          <w:szCs w:val="18"/>
        </w:rPr>
        <w:t>tevkifata</w:t>
      </w:r>
      <w:proofErr w:type="spellEnd"/>
      <w:r>
        <w:rPr>
          <w:sz w:val="18"/>
          <w:szCs w:val="18"/>
        </w:rPr>
        <w:t xml:space="preserve"> tabi tutulmayacaktır. Ancak, bu durum profesyonel spor kulüplerince (şirketleşenler </w:t>
      </w:r>
      <w:proofErr w:type="gramStart"/>
      <w:r>
        <w:rPr>
          <w:sz w:val="18"/>
          <w:szCs w:val="18"/>
        </w:rPr>
        <w:t>dahil</w:t>
      </w:r>
      <w:proofErr w:type="gramEnd"/>
      <w:r>
        <w:rPr>
          <w:sz w:val="18"/>
          <w:szCs w:val="18"/>
        </w:rPr>
        <w:t xml:space="preserve">) </w:t>
      </w:r>
      <w:r w:rsidRPr="00DD7B42">
        <w:rPr>
          <w:b/>
          <w:sz w:val="22"/>
          <w:szCs w:val="18"/>
          <w:highlight w:val="yellow"/>
          <w:u w:val="single"/>
        </w:rPr>
        <w:t>Tebliğin (3.1.2./b) ayırımında sayılanlara yapılan teslim ve hizmetlerde geçerli değildir.</w:t>
      </w:r>
    </w:p>
    <w:p w:rsidR="002164B3" w:rsidRPr="00955AB0" w:rsidRDefault="002164B3" w:rsidP="002164B3">
      <w:pPr>
        <w:pStyle w:val="GvdeMetni"/>
      </w:pPr>
    </w:p>
    <w:p w:rsidR="00BB2ADE" w:rsidRDefault="00BB2ADE">
      <w:bookmarkStart w:id="0" w:name="_GoBack"/>
      <w:bookmarkEnd w:id="0"/>
    </w:p>
    <w:sectPr w:rsidR="00BB2ADE" w:rsidSect="00AF72F8">
      <w:headerReference w:type="default" r:id="rId4"/>
      <w:footerReference w:type="default" r:id="rId5"/>
      <w:pgSz w:w="11906" w:h="16838" w:code="9"/>
      <w:pgMar w:top="720" w:right="1106" w:bottom="357" w:left="1247" w:header="709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CA" w:rsidRDefault="002164B3">
    <w:pPr>
      <w:pStyle w:val="Altbilgi"/>
      <w:ind w:left="-540"/>
    </w:pPr>
    <w:r>
      <w:t xml:space="preserve"> </w:t>
    </w:r>
  </w:p>
  <w:tbl>
    <w:tblPr>
      <w:tblpPr w:leftFromText="142" w:rightFromText="142" w:vertAnchor="text" w:horzAnchor="page" w:tblpX="1" w:tblpY="1"/>
      <w:tblW w:w="29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999"/>
      <w:gridCol w:w="8730"/>
      <w:gridCol w:w="8730"/>
    </w:tblGrid>
    <w:tr w:rsidR="005756CA" w:rsidTr="005756CA">
      <w:trPr>
        <w:cantSplit/>
        <w:trHeight w:val="1134"/>
      </w:trPr>
      <w:tc>
        <w:tcPr>
          <w:tcW w:w="1666" w:type="dxa"/>
          <w:tcBorders>
            <w:left w:val="nil"/>
            <w:bottom w:val="nil"/>
            <w:right w:val="nil"/>
          </w:tcBorders>
        </w:tcPr>
        <w:p w:rsidR="005756CA" w:rsidRDefault="002164B3" w:rsidP="005756CA">
          <w:pPr>
            <w:pStyle w:val="Altbilgi"/>
            <w:jc w:val="center"/>
          </w:pPr>
          <w:r w:rsidRPr="004369AC">
            <w:rPr>
              <w:noProof/>
              <w:sz w:val="22"/>
            </w:rPr>
            <w:drawing>
              <wp:inline distT="0" distB="0" distL="0" distR="0">
                <wp:extent cx="838200" cy="838200"/>
                <wp:effectExtent l="0" t="0" r="0" b="0"/>
                <wp:docPr id="1" name="Resim 1" descr="logo_M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756CA" w:rsidRDefault="002164B3" w:rsidP="005756CA">
          <w:pPr>
            <w:pStyle w:val="Altbilgi"/>
            <w:jc w:val="center"/>
          </w:pPr>
        </w:p>
      </w:tc>
      <w:tc>
        <w:tcPr>
          <w:tcW w:w="9999" w:type="dxa"/>
          <w:tcBorders>
            <w:left w:val="nil"/>
            <w:bottom w:val="nil"/>
            <w:right w:val="nil"/>
          </w:tcBorders>
        </w:tcPr>
        <w:p w:rsidR="005756CA" w:rsidRPr="005756CA" w:rsidRDefault="002164B3" w:rsidP="005756CA">
          <w:pPr>
            <w:pBdr>
              <w:top w:val="single" w:sz="4" w:space="1" w:color="auto"/>
            </w:pBdr>
            <w:tabs>
              <w:tab w:val="left" w:pos="7702"/>
            </w:tabs>
            <w:rPr>
              <w:sz w:val="20"/>
              <w:szCs w:val="20"/>
            </w:rPr>
          </w:pPr>
          <w:r w:rsidRPr="005756CA">
            <w:rPr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50.75pt;margin-top:4.45pt;width:67.85pt;height:79.75pt;z-index:251660288;mso-position-horizontal-relative:text;mso-position-vertical-relative:text">
                <v:imagedata r:id="rId2" o:title=""/>
              </v:shape>
              <o:OLEObject Type="Embed" ProgID="Word.Picture.8" ShapeID="_x0000_s2050" DrawAspect="Content" ObjectID="_1725186981" r:id="rId3"/>
            </w:object>
          </w:r>
          <w:r w:rsidRPr="005756CA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755650" cy="897890"/>
                <wp:effectExtent l="0" t="0" r="6350" b="0"/>
                <wp:wrapNone/>
                <wp:docPr id="3" name="Resim 3" descr="EgitimeDestek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timeDestek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897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104FE" w:rsidRPr="00AF5B4A" w:rsidRDefault="002164B3" w:rsidP="00A104FE">
          <w:pPr>
            <w:pStyle w:val="GvdeMetni"/>
            <w:jc w:val="left"/>
            <w:rPr>
              <w:sz w:val="20"/>
            </w:rPr>
          </w:pPr>
          <w:r>
            <w:rPr>
              <w:noProof/>
              <w:sz w:val="20"/>
            </w:rPr>
            <w:t>K</w:t>
          </w:r>
          <w:r w:rsidRPr="00AF5B4A">
            <w:rPr>
              <w:noProof/>
              <w:sz w:val="20"/>
            </w:rPr>
            <w:t>avaklar Mah.Soner Sok</w:t>
          </w:r>
        </w:p>
        <w:p w:rsidR="00A104FE" w:rsidRPr="00AF5B4A" w:rsidRDefault="002164B3" w:rsidP="00A104FE">
          <w:pPr>
            <w:pStyle w:val="GvdeMetni"/>
            <w:jc w:val="left"/>
            <w:rPr>
              <w:sz w:val="20"/>
            </w:rPr>
          </w:pPr>
          <w:r w:rsidRPr="005756CA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106045</wp:posOffset>
                </wp:positionV>
                <wp:extent cx="1052830" cy="58039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F5B4A">
            <w:rPr>
              <w:sz w:val="20"/>
            </w:rPr>
            <w:t xml:space="preserve">No:3         </w:t>
          </w:r>
        </w:p>
        <w:p w:rsidR="00A104FE" w:rsidRPr="00AF5B4A" w:rsidRDefault="002164B3" w:rsidP="00A104FE">
          <w:pPr>
            <w:pStyle w:val="GvdeMetni"/>
            <w:jc w:val="left"/>
            <w:rPr>
              <w:sz w:val="20"/>
            </w:rPr>
          </w:pPr>
          <w:r w:rsidRPr="00AF5B4A">
            <w:rPr>
              <w:sz w:val="20"/>
            </w:rPr>
            <w:t xml:space="preserve"> </w:t>
          </w:r>
          <w:proofErr w:type="gramStart"/>
          <w:r w:rsidRPr="00AF5B4A">
            <w:rPr>
              <w:sz w:val="20"/>
            </w:rPr>
            <w:t>28100  GİRESUN</w:t>
          </w:r>
          <w:proofErr w:type="gramEnd"/>
          <w:r w:rsidRPr="00AF5B4A">
            <w:rPr>
              <w:sz w:val="20"/>
            </w:rPr>
            <w:t xml:space="preserve"> Bilgi için </w:t>
          </w:r>
        </w:p>
        <w:p w:rsidR="00A104FE" w:rsidRPr="00AF5B4A" w:rsidRDefault="002164B3" w:rsidP="00A104FE">
          <w:pPr>
            <w:pStyle w:val="GvdeMetni"/>
            <w:jc w:val="left"/>
            <w:rPr>
              <w:sz w:val="20"/>
            </w:rPr>
          </w:pPr>
          <w:r w:rsidRPr="00AF5B4A">
            <w:rPr>
              <w:sz w:val="20"/>
            </w:rPr>
            <w:t xml:space="preserve">Tel:(0454) 2161183 </w:t>
          </w:r>
        </w:p>
        <w:p w:rsidR="00A104FE" w:rsidRPr="00AF5B4A" w:rsidRDefault="002164B3" w:rsidP="00A104FE">
          <w:pPr>
            <w:pStyle w:val="GvdeMetni"/>
            <w:jc w:val="left"/>
            <w:rPr>
              <w:sz w:val="20"/>
            </w:rPr>
          </w:pPr>
          <w:proofErr w:type="spellStart"/>
          <w:r w:rsidRPr="00AF5B4A">
            <w:rPr>
              <w:sz w:val="20"/>
            </w:rPr>
            <w:t>Fax</w:t>
          </w:r>
          <w:proofErr w:type="spellEnd"/>
          <w:r w:rsidRPr="00AF5B4A">
            <w:rPr>
              <w:sz w:val="20"/>
            </w:rPr>
            <w:t xml:space="preserve">: (0454) 2124474     </w:t>
          </w:r>
        </w:p>
        <w:p w:rsidR="00A104FE" w:rsidRPr="00AF5B4A" w:rsidRDefault="002164B3" w:rsidP="00A104FE">
          <w:pPr>
            <w:pStyle w:val="GvdeMetni"/>
            <w:jc w:val="left"/>
            <w:rPr>
              <w:sz w:val="20"/>
            </w:rPr>
          </w:pPr>
          <w:r w:rsidRPr="00AF5B4A">
            <w:rPr>
              <w:sz w:val="20"/>
            </w:rPr>
            <w:t xml:space="preserve">Kurum Kodu 151011                     </w:t>
          </w:r>
          <w:r w:rsidRPr="00AF5B4A">
            <w:rPr>
              <w:sz w:val="20"/>
            </w:rPr>
            <w:t xml:space="preserve">    </w:t>
          </w:r>
          <w:r w:rsidRPr="00AF5B4A">
            <w:rPr>
              <w:rStyle w:val="Normal"/>
              <w:snapToGrid w:val="0"/>
              <w:color w:val="000000"/>
              <w:w w:val="0"/>
              <w:sz w:val="2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  <w:r w:rsidRPr="00AF5B4A">
            <w:rPr>
              <w:sz w:val="20"/>
            </w:rPr>
            <w:t xml:space="preserve"> </w:t>
          </w:r>
        </w:p>
        <w:p w:rsidR="005756CA" w:rsidRDefault="002164B3" w:rsidP="00A104FE">
          <w:pPr>
            <w:pBdr>
              <w:top w:val="single" w:sz="4" w:space="1" w:color="auto"/>
            </w:pBdr>
          </w:pPr>
        </w:p>
      </w:tc>
      <w:tc>
        <w:tcPr>
          <w:tcW w:w="8730" w:type="dxa"/>
          <w:tcBorders>
            <w:left w:val="nil"/>
            <w:bottom w:val="nil"/>
            <w:right w:val="nil"/>
          </w:tcBorders>
        </w:tcPr>
        <w:p w:rsidR="005756CA" w:rsidRDefault="002164B3" w:rsidP="005756CA">
          <w:pPr>
            <w:pStyle w:val="Altbilgi"/>
            <w:jc w:val="center"/>
          </w:pPr>
        </w:p>
      </w:tc>
      <w:tc>
        <w:tcPr>
          <w:tcW w:w="8730" w:type="dxa"/>
          <w:tcBorders>
            <w:left w:val="nil"/>
            <w:bottom w:val="nil"/>
            <w:right w:val="nil"/>
          </w:tcBorders>
        </w:tcPr>
        <w:p w:rsidR="005756CA" w:rsidRDefault="002164B3" w:rsidP="005756CA">
          <w:pPr>
            <w:pStyle w:val="Altbilgi"/>
            <w:jc w:val="center"/>
          </w:pPr>
        </w:p>
      </w:tc>
    </w:tr>
  </w:tbl>
  <w:p w:rsidR="003F2155" w:rsidRDefault="002164B3">
    <w:pPr>
      <w:pStyle w:val="Altbilgi"/>
      <w:ind w:left="-540"/>
    </w:pPr>
    <w: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7B3" w:rsidRDefault="002164B3">
    <w:pPr>
      <w:pStyle w:val="stbilgi"/>
    </w:pPr>
  </w:p>
  <w:p w:rsidR="002D568A" w:rsidRPr="002D568A" w:rsidRDefault="002164B3" w:rsidP="002D568A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CF"/>
    <w:rsid w:val="002164B3"/>
    <w:rsid w:val="007618C9"/>
    <w:rsid w:val="00B47ACF"/>
    <w:rsid w:val="00B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F1DF338-1222-4439-A2AC-1513B33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164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164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164B3"/>
    <w:pPr>
      <w:tabs>
        <w:tab w:val="left" w:pos="900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2164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164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64B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2022-09-20T10:50:00Z</dcterms:created>
  <dcterms:modified xsi:type="dcterms:W3CDTF">2022-09-20T10:50:00Z</dcterms:modified>
</cp:coreProperties>
</file>